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61"/>
        <w:gridCol w:w="5596"/>
      </w:tblGrid>
      <w:tr w:rsidR="004B1171" w:rsidRPr="004B1171" w14:paraId="0BF491DB" w14:textId="77777777" w:rsidTr="00BA318C">
        <w:trPr>
          <w:trHeight w:val="532"/>
        </w:trPr>
        <w:tc>
          <w:tcPr>
            <w:tcW w:w="8957" w:type="dxa"/>
            <w:gridSpan w:val="2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shd w:val="clear" w:color="auto" w:fill="A8D08D" w:themeFill="accent6" w:themeFillTint="99"/>
            <w:tcMar>
              <w:top w:w="39" w:type="dxa"/>
              <w:left w:w="39" w:type="dxa"/>
              <w:bottom w:w="39" w:type="dxa"/>
              <w:right w:w="39" w:type="dxa"/>
            </w:tcMar>
            <w:hideMark/>
          </w:tcPr>
          <w:p w14:paraId="05716354" w14:textId="77777777" w:rsidR="004B1171" w:rsidRPr="00BA318C" w:rsidRDefault="004B1171">
            <w:pPr>
              <w:jc w:val="center"/>
              <w:rPr>
                <w:b/>
                <w:bCs/>
                <w:sz w:val="24"/>
                <w:szCs w:val="24"/>
              </w:rPr>
            </w:pPr>
            <w:r w:rsidRPr="00BA318C">
              <w:rPr>
                <w:rFonts w:eastAsia="Calibri"/>
                <w:b/>
                <w:bCs/>
                <w:color w:val="000000"/>
                <w:sz w:val="24"/>
                <w:szCs w:val="24"/>
              </w:rPr>
              <w:t>OBRAZAC</w:t>
            </w:r>
          </w:p>
          <w:p w14:paraId="69FC37C6" w14:textId="77777777" w:rsidR="004B1171" w:rsidRPr="004B1171" w:rsidRDefault="004B1171">
            <w:pPr>
              <w:jc w:val="center"/>
              <w:rPr>
                <w:sz w:val="24"/>
                <w:szCs w:val="24"/>
              </w:rPr>
            </w:pPr>
            <w:r w:rsidRPr="00BA318C">
              <w:rPr>
                <w:rFonts w:eastAsia="Calibri"/>
                <w:b/>
                <w:bCs/>
                <w:color w:val="000000"/>
                <w:sz w:val="24"/>
                <w:szCs w:val="24"/>
              </w:rPr>
              <w:t>IZVJEŠĆA O PROVEDENOM SAVJETOVANJU SA ZAINTERESIRANOM JAVNOŠĆU</w:t>
            </w:r>
          </w:p>
        </w:tc>
      </w:tr>
      <w:tr w:rsidR="004B1171" w:rsidRPr="004B1171" w14:paraId="64E415AD" w14:textId="77777777" w:rsidTr="004B1171">
        <w:trPr>
          <w:trHeight w:val="427"/>
        </w:trPr>
        <w:tc>
          <w:tcPr>
            <w:tcW w:w="3361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tcMar>
              <w:top w:w="39" w:type="dxa"/>
              <w:left w:w="39" w:type="dxa"/>
              <w:bottom w:w="39" w:type="dxa"/>
              <w:right w:w="39" w:type="dxa"/>
            </w:tcMar>
            <w:hideMark/>
          </w:tcPr>
          <w:p w14:paraId="408C39C1" w14:textId="77777777" w:rsidR="004B1171" w:rsidRPr="004B1171" w:rsidRDefault="004B1171">
            <w:pPr>
              <w:rPr>
                <w:sz w:val="24"/>
                <w:szCs w:val="24"/>
              </w:rPr>
            </w:pPr>
            <w:r w:rsidRPr="004B1171">
              <w:rPr>
                <w:rFonts w:eastAsia="Calibri"/>
                <w:color w:val="000000"/>
                <w:sz w:val="24"/>
                <w:szCs w:val="24"/>
              </w:rPr>
              <w:t>Naslov dokumenta</w:t>
            </w:r>
          </w:p>
        </w:tc>
        <w:tc>
          <w:tcPr>
            <w:tcW w:w="5596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tcMar>
              <w:top w:w="39" w:type="dxa"/>
              <w:left w:w="39" w:type="dxa"/>
              <w:bottom w:w="39" w:type="dxa"/>
              <w:right w:w="39" w:type="dxa"/>
            </w:tcMar>
            <w:hideMark/>
          </w:tcPr>
          <w:p w14:paraId="5E90679F" w14:textId="685EBFB2" w:rsidR="004B1171" w:rsidRPr="004B1171" w:rsidRDefault="004B1171">
            <w:pPr>
              <w:rPr>
                <w:sz w:val="24"/>
                <w:szCs w:val="24"/>
              </w:rPr>
            </w:pPr>
            <w:r w:rsidRPr="004B1171">
              <w:rPr>
                <w:rFonts w:eastAsia="Calibri"/>
                <w:color w:val="000000"/>
                <w:sz w:val="24"/>
                <w:szCs w:val="24"/>
              </w:rPr>
              <w:t xml:space="preserve">Izvješće o provedenom savjetovanju </w:t>
            </w:r>
            <w:r>
              <w:rPr>
                <w:rFonts w:eastAsia="Calibri"/>
                <w:color w:val="000000"/>
                <w:sz w:val="24"/>
                <w:szCs w:val="24"/>
              </w:rPr>
              <w:t>–</w:t>
            </w:r>
            <w:r w:rsidRPr="004B1171">
              <w:rPr>
                <w:rFonts w:eastAsia="Calibri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Calibri"/>
                <w:color w:val="000000"/>
                <w:sz w:val="24"/>
                <w:szCs w:val="24"/>
              </w:rPr>
              <w:t>Odluka o visini poreznih stopa godišnjeg poreza na dohodak Općine Klakar</w:t>
            </w:r>
          </w:p>
        </w:tc>
      </w:tr>
      <w:tr w:rsidR="004B1171" w:rsidRPr="004B1171" w14:paraId="0027CEB4" w14:textId="77777777" w:rsidTr="004B1171">
        <w:trPr>
          <w:trHeight w:val="427"/>
        </w:trPr>
        <w:tc>
          <w:tcPr>
            <w:tcW w:w="3361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tcMar>
              <w:top w:w="39" w:type="dxa"/>
              <w:left w:w="39" w:type="dxa"/>
              <w:bottom w:w="39" w:type="dxa"/>
              <w:right w:w="39" w:type="dxa"/>
            </w:tcMar>
            <w:hideMark/>
          </w:tcPr>
          <w:p w14:paraId="1D2082AA" w14:textId="77777777" w:rsidR="004B1171" w:rsidRPr="004B1171" w:rsidRDefault="004B1171">
            <w:pPr>
              <w:rPr>
                <w:sz w:val="24"/>
                <w:szCs w:val="24"/>
              </w:rPr>
            </w:pPr>
            <w:r w:rsidRPr="004B1171">
              <w:rPr>
                <w:rFonts w:eastAsia="Calibri"/>
                <w:color w:val="000000"/>
                <w:sz w:val="24"/>
                <w:szCs w:val="24"/>
              </w:rPr>
              <w:t>Stvaratelj dokumenta, tijelo koje provodi savjetovanje</w:t>
            </w:r>
          </w:p>
        </w:tc>
        <w:tc>
          <w:tcPr>
            <w:tcW w:w="5596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tcMar>
              <w:top w:w="39" w:type="dxa"/>
              <w:left w:w="39" w:type="dxa"/>
              <w:bottom w:w="39" w:type="dxa"/>
              <w:right w:w="39" w:type="dxa"/>
            </w:tcMar>
            <w:hideMark/>
          </w:tcPr>
          <w:p w14:paraId="03416E0E" w14:textId="022E2212" w:rsidR="004B1171" w:rsidRPr="004B1171" w:rsidRDefault="004B1171">
            <w:pPr>
              <w:rPr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Općina Klakar</w:t>
            </w:r>
          </w:p>
        </w:tc>
      </w:tr>
      <w:tr w:rsidR="004B1171" w:rsidRPr="004B1171" w14:paraId="1D618AF0" w14:textId="77777777" w:rsidTr="004B1171">
        <w:trPr>
          <w:trHeight w:val="427"/>
        </w:trPr>
        <w:tc>
          <w:tcPr>
            <w:tcW w:w="3361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tcMar>
              <w:top w:w="39" w:type="dxa"/>
              <w:left w:w="39" w:type="dxa"/>
              <w:bottom w:w="39" w:type="dxa"/>
              <w:right w:w="39" w:type="dxa"/>
            </w:tcMar>
            <w:hideMark/>
          </w:tcPr>
          <w:p w14:paraId="12318B0A" w14:textId="77777777" w:rsidR="004B1171" w:rsidRPr="004B1171" w:rsidRDefault="004B1171">
            <w:pPr>
              <w:rPr>
                <w:sz w:val="24"/>
                <w:szCs w:val="24"/>
              </w:rPr>
            </w:pPr>
            <w:r w:rsidRPr="004B1171">
              <w:rPr>
                <w:rFonts w:eastAsia="Calibri"/>
                <w:color w:val="000000"/>
                <w:sz w:val="24"/>
                <w:szCs w:val="24"/>
              </w:rPr>
              <w:t>Svrha dokumenta</w:t>
            </w:r>
          </w:p>
        </w:tc>
        <w:tc>
          <w:tcPr>
            <w:tcW w:w="5596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tcMar>
              <w:top w:w="39" w:type="dxa"/>
              <w:left w:w="39" w:type="dxa"/>
              <w:bottom w:w="39" w:type="dxa"/>
              <w:right w:w="39" w:type="dxa"/>
            </w:tcMar>
            <w:hideMark/>
          </w:tcPr>
          <w:p w14:paraId="11AFB939" w14:textId="6D5FAA32" w:rsidR="004B1171" w:rsidRPr="004B1171" w:rsidRDefault="004B1171">
            <w:pPr>
              <w:rPr>
                <w:sz w:val="24"/>
                <w:szCs w:val="24"/>
              </w:rPr>
            </w:pPr>
            <w:r w:rsidRPr="004B1171">
              <w:rPr>
                <w:rFonts w:eastAsia="Calibri"/>
                <w:color w:val="000000"/>
                <w:sz w:val="24"/>
                <w:szCs w:val="24"/>
              </w:rPr>
              <w:t xml:space="preserve">Izvješće o provedenom savjetovanju - </w:t>
            </w:r>
            <w:r>
              <w:rPr>
                <w:rFonts w:eastAsia="Calibri"/>
                <w:color w:val="000000"/>
                <w:sz w:val="24"/>
                <w:szCs w:val="24"/>
              </w:rPr>
              <w:t>Odluka o visini poreznih stopa godišnjeg poreza na dohodak Općine Klakar</w:t>
            </w:r>
          </w:p>
        </w:tc>
      </w:tr>
      <w:tr w:rsidR="004B1171" w:rsidRPr="004B1171" w14:paraId="444D83CC" w14:textId="77777777" w:rsidTr="004B1171">
        <w:trPr>
          <w:trHeight w:val="427"/>
        </w:trPr>
        <w:tc>
          <w:tcPr>
            <w:tcW w:w="3361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tcMar>
              <w:top w:w="39" w:type="dxa"/>
              <w:left w:w="39" w:type="dxa"/>
              <w:bottom w:w="39" w:type="dxa"/>
              <w:right w:w="39" w:type="dxa"/>
            </w:tcMar>
            <w:hideMark/>
          </w:tcPr>
          <w:p w14:paraId="421BDAC0" w14:textId="77777777" w:rsidR="004B1171" w:rsidRPr="004B1171" w:rsidRDefault="004B1171">
            <w:pPr>
              <w:rPr>
                <w:sz w:val="24"/>
                <w:szCs w:val="24"/>
              </w:rPr>
            </w:pPr>
            <w:r w:rsidRPr="004B1171">
              <w:rPr>
                <w:rFonts w:eastAsia="Calibri"/>
                <w:color w:val="000000"/>
                <w:sz w:val="24"/>
                <w:szCs w:val="24"/>
              </w:rPr>
              <w:t>Datum dokumenta</w:t>
            </w:r>
          </w:p>
        </w:tc>
        <w:tc>
          <w:tcPr>
            <w:tcW w:w="5596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tcMar>
              <w:top w:w="39" w:type="dxa"/>
              <w:left w:w="39" w:type="dxa"/>
              <w:bottom w:w="39" w:type="dxa"/>
              <w:right w:w="39" w:type="dxa"/>
            </w:tcMar>
            <w:hideMark/>
          </w:tcPr>
          <w:p w14:paraId="41A3CF1E" w14:textId="3267677C" w:rsidR="004B1171" w:rsidRPr="004B1171" w:rsidRDefault="004B1171">
            <w:pPr>
              <w:rPr>
                <w:sz w:val="24"/>
                <w:szCs w:val="24"/>
              </w:rPr>
            </w:pPr>
            <w:r w:rsidRPr="004B1171">
              <w:rPr>
                <w:rFonts w:eastAsia="Calibri"/>
                <w:color w:val="000000"/>
                <w:sz w:val="24"/>
                <w:szCs w:val="24"/>
              </w:rPr>
              <w:t>2</w:t>
            </w:r>
            <w:r w:rsidR="00D27E1C">
              <w:rPr>
                <w:rFonts w:eastAsia="Calibri"/>
                <w:color w:val="000000"/>
                <w:sz w:val="24"/>
                <w:szCs w:val="24"/>
              </w:rPr>
              <w:t>9</w:t>
            </w:r>
            <w:r w:rsidRPr="004B1171">
              <w:rPr>
                <w:rFonts w:eastAsia="Calibri"/>
                <w:color w:val="000000"/>
                <w:sz w:val="24"/>
                <w:szCs w:val="24"/>
              </w:rPr>
              <w:t>.11.2023.</w:t>
            </w:r>
          </w:p>
        </w:tc>
      </w:tr>
      <w:tr w:rsidR="004B1171" w:rsidRPr="004B1171" w14:paraId="6C0A68DF" w14:textId="77777777" w:rsidTr="004B1171">
        <w:trPr>
          <w:trHeight w:val="427"/>
        </w:trPr>
        <w:tc>
          <w:tcPr>
            <w:tcW w:w="3361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tcMar>
              <w:top w:w="39" w:type="dxa"/>
              <w:left w:w="39" w:type="dxa"/>
              <w:bottom w:w="39" w:type="dxa"/>
              <w:right w:w="39" w:type="dxa"/>
            </w:tcMar>
            <w:hideMark/>
          </w:tcPr>
          <w:p w14:paraId="6CC5F10A" w14:textId="77777777" w:rsidR="004B1171" w:rsidRPr="004B1171" w:rsidRDefault="004B1171">
            <w:pPr>
              <w:rPr>
                <w:sz w:val="24"/>
                <w:szCs w:val="24"/>
              </w:rPr>
            </w:pPr>
            <w:r w:rsidRPr="004B1171">
              <w:rPr>
                <w:rFonts w:eastAsia="Calibri"/>
                <w:color w:val="000000"/>
                <w:sz w:val="24"/>
                <w:szCs w:val="24"/>
              </w:rPr>
              <w:t>Verzija dokumenta</w:t>
            </w:r>
          </w:p>
        </w:tc>
        <w:tc>
          <w:tcPr>
            <w:tcW w:w="5596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tcMar>
              <w:top w:w="39" w:type="dxa"/>
              <w:left w:w="39" w:type="dxa"/>
              <w:bottom w:w="39" w:type="dxa"/>
              <w:right w:w="39" w:type="dxa"/>
            </w:tcMar>
            <w:hideMark/>
          </w:tcPr>
          <w:p w14:paraId="00BCF4DD" w14:textId="5DC7C143" w:rsidR="004B1171" w:rsidRPr="004B1171" w:rsidRDefault="00F813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Prva verzija</w:t>
            </w:r>
          </w:p>
        </w:tc>
      </w:tr>
      <w:tr w:rsidR="004B1171" w:rsidRPr="004B1171" w14:paraId="1C8FA99F" w14:textId="77777777" w:rsidTr="004B1171">
        <w:trPr>
          <w:trHeight w:val="427"/>
        </w:trPr>
        <w:tc>
          <w:tcPr>
            <w:tcW w:w="3361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tcMar>
              <w:top w:w="39" w:type="dxa"/>
              <w:left w:w="39" w:type="dxa"/>
              <w:bottom w:w="39" w:type="dxa"/>
              <w:right w:w="39" w:type="dxa"/>
            </w:tcMar>
            <w:hideMark/>
          </w:tcPr>
          <w:p w14:paraId="666621C1" w14:textId="77777777" w:rsidR="004B1171" w:rsidRPr="004B1171" w:rsidRDefault="004B1171">
            <w:pPr>
              <w:rPr>
                <w:sz w:val="24"/>
                <w:szCs w:val="24"/>
              </w:rPr>
            </w:pPr>
            <w:r w:rsidRPr="004B1171">
              <w:rPr>
                <w:rFonts w:eastAsia="Calibri"/>
                <w:color w:val="000000"/>
                <w:sz w:val="24"/>
                <w:szCs w:val="24"/>
              </w:rPr>
              <w:t>Vrsta dokumenta</w:t>
            </w:r>
          </w:p>
        </w:tc>
        <w:tc>
          <w:tcPr>
            <w:tcW w:w="5596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tcMar>
              <w:top w:w="39" w:type="dxa"/>
              <w:left w:w="39" w:type="dxa"/>
              <w:bottom w:w="39" w:type="dxa"/>
              <w:right w:w="39" w:type="dxa"/>
            </w:tcMar>
            <w:hideMark/>
          </w:tcPr>
          <w:p w14:paraId="7729E052" w14:textId="77777777" w:rsidR="004B1171" w:rsidRPr="004B1171" w:rsidRDefault="004B1171">
            <w:pPr>
              <w:rPr>
                <w:sz w:val="24"/>
                <w:szCs w:val="24"/>
              </w:rPr>
            </w:pPr>
            <w:r w:rsidRPr="004B1171">
              <w:rPr>
                <w:rFonts w:eastAsia="Calibri"/>
                <w:color w:val="000000"/>
                <w:sz w:val="24"/>
                <w:szCs w:val="24"/>
              </w:rPr>
              <w:t>Izvješće</w:t>
            </w:r>
          </w:p>
        </w:tc>
      </w:tr>
      <w:tr w:rsidR="004B1171" w:rsidRPr="004B1171" w14:paraId="72334053" w14:textId="77777777" w:rsidTr="004B1171">
        <w:trPr>
          <w:trHeight w:val="427"/>
        </w:trPr>
        <w:tc>
          <w:tcPr>
            <w:tcW w:w="3361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tcMar>
              <w:top w:w="39" w:type="dxa"/>
              <w:left w:w="39" w:type="dxa"/>
              <w:bottom w:w="39" w:type="dxa"/>
              <w:right w:w="39" w:type="dxa"/>
            </w:tcMar>
            <w:hideMark/>
          </w:tcPr>
          <w:p w14:paraId="4E6AE7BE" w14:textId="77777777" w:rsidR="004B1171" w:rsidRPr="004B1171" w:rsidRDefault="004B1171">
            <w:pPr>
              <w:rPr>
                <w:sz w:val="24"/>
                <w:szCs w:val="24"/>
              </w:rPr>
            </w:pPr>
            <w:r w:rsidRPr="004B1171">
              <w:rPr>
                <w:rFonts w:eastAsia="Calibri"/>
                <w:color w:val="000000"/>
                <w:sz w:val="24"/>
                <w:szCs w:val="24"/>
              </w:rPr>
              <w:t>Naziv nacrta zakona, drugog propisa ili akta</w:t>
            </w:r>
          </w:p>
        </w:tc>
        <w:tc>
          <w:tcPr>
            <w:tcW w:w="5596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tcMar>
              <w:top w:w="39" w:type="dxa"/>
              <w:left w:w="39" w:type="dxa"/>
              <w:bottom w:w="39" w:type="dxa"/>
              <w:right w:w="39" w:type="dxa"/>
            </w:tcMar>
            <w:hideMark/>
          </w:tcPr>
          <w:p w14:paraId="76493997" w14:textId="618B9810" w:rsidR="004B1171" w:rsidRPr="004B1171" w:rsidRDefault="004B1171">
            <w:pPr>
              <w:rPr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Odluka o visini poreznih stopa godišnjeg poreza na dohodak Općine Klakar</w:t>
            </w:r>
          </w:p>
        </w:tc>
      </w:tr>
      <w:tr w:rsidR="004B1171" w:rsidRPr="004B1171" w14:paraId="2EDEE698" w14:textId="77777777" w:rsidTr="004B1171">
        <w:trPr>
          <w:trHeight w:val="427"/>
        </w:trPr>
        <w:tc>
          <w:tcPr>
            <w:tcW w:w="3361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tcMar>
              <w:top w:w="39" w:type="dxa"/>
              <w:left w:w="39" w:type="dxa"/>
              <w:bottom w:w="39" w:type="dxa"/>
              <w:right w:w="39" w:type="dxa"/>
            </w:tcMar>
            <w:hideMark/>
          </w:tcPr>
          <w:p w14:paraId="0DCA4590" w14:textId="77777777" w:rsidR="004B1171" w:rsidRPr="004B1171" w:rsidRDefault="004B1171">
            <w:pPr>
              <w:rPr>
                <w:sz w:val="24"/>
                <w:szCs w:val="24"/>
              </w:rPr>
            </w:pPr>
            <w:r w:rsidRPr="004B1171">
              <w:rPr>
                <w:rFonts w:eastAsia="Calibri"/>
                <w:color w:val="000000"/>
                <w:sz w:val="24"/>
                <w:szCs w:val="24"/>
              </w:rPr>
              <w:t>Je li nacrt bio objavljen na internetskim stranicama ili na drugi odgovarajući način?</w:t>
            </w:r>
            <w:r w:rsidRPr="004B1171">
              <w:rPr>
                <w:rFonts w:eastAsia="Calibri"/>
                <w:color w:val="000000"/>
                <w:sz w:val="24"/>
                <w:szCs w:val="24"/>
              </w:rPr>
              <w:br/>
            </w:r>
            <w:r w:rsidRPr="004B1171">
              <w:rPr>
                <w:rFonts w:eastAsia="Calibri"/>
                <w:color w:val="000000"/>
                <w:sz w:val="24"/>
                <w:szCs w:val="24"/>
              </w:rPr>
              <w:br/>
              <w:t>Ako jest, kada je nacrt objavljen, na kojoj internetskoj stranici i koliko je vremena ostavljeno za savjetovanje?</w:t>
            </w:r>
            <w:r w:rsidRPr="004B1171">
              <w:rPr>
                <w:rFonts w:eastAsia="Calibri"/>
                <w:color w:val="000000"/>
                <w:sz w:val="24"/>
                <w:szCs w:val="24"/>
              </w:rPr>
              <w:br/>
            </w:r>
            <w:r w:rsidRPr="004B1171">
              <w:rPr>
                <w:rFonts w:eastAsia="Calibri"/>
                <w:color w:val="000000"/>
                <w:sz w:val="24"/>
                <w:szCs w:val="24"/>
              </w:rPr>
              <w:br/>
              <w:t>Ako nije, zašto?</w:t>
            </w:r>
            <w:r w:rsidRPr="004B1171">
              <w:rPr>
                <w:rFonts w:eastAsia="Calibri"/>
                <w:color w:val="000000"/>
                <w:sz w:val="24"/>
                <w:szCs w:val="24"/>
              </w:rPr>
              <w:br/>
            </w:r>
          </w:p>
        </w:tc>
        <w:tc>
          <w:tcPr>
            <w:tcW w:w="5596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tcMar>
              <w:top w:w="39" w:type="dxa"/>
              <w:left w:w="39" w:type="dxa"/>
              <w:bottom w:w="39" w:type="dxa"/>
              <w:right w:w="39" w:type="dxa"/>
            </w:tcMar>
            <w:hideMark/>
          </w:tcPr>
          <w:p w14:paraId="3B46E97D" w14:textId="770F51FA" w:rsidR="004B1171" w:rsidRDefault="004B1171">
            <w:pPr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Nacrt Odluke </w:t>
            </w:r>
            <w:r>
              <w:rPr>
                <w:rFonts w:eastAsia="Calibri"/>
                <w:color w:val="000000"/>
                <w:sz w:val="24"/>
                <w:szCs w:val="24"/>
              </w:rPr>
              <w:t>o visini poreznih stopa godišnjeg poreza na dohodak Općine Klakar objavljen je na web stranici Općine Klakar</w:t>
            </w:r>
            <w:r w:rsidR="006F08CE">
              <w:rPr>
                <w:rFonts w:eastAsia="Calibri"/>
                <w:color w:val="000000"/>
                <w:sz w:val="24"/>
                <w:szCs w:val="24"/>
              </w:rPr>
              <w:t xml:space="preserve">: </w:t>
            </w:r>
            <w:hyperlink r:id="rId4" w:history="1">
              <w:r w:rsidR="006F08CE" w:rsidRPr="00776039">
                <w:rPr>
                  <w:rStyle w:val="Hiperveza"/>
                  <w:rFonts w:eastAsia="Calibri"/>
                  <w:sz w:val="24"/>
                  <w:szCs w:val="24"/>
                </w:rPr>
                <w:t>https://opcinaklakar.hr/2023/10/24/savjetovanje-sa-zainteresiranom-javnoscu/</w:t>
              </w:r>
            </w:hyperlink>
          </w:p>
          <w:p w14:paraId="6019C1F9" w14:textId="77777777" w:rsidR="004B1171" w:rsidRDefault="004B1171">
            <w:pPr>
              <w:rPr>
                <w:sz w:val="24"/>
                <w:szCs w:val="24"/>
              </w:rPr>
            </w:pPr>
          </w:p>
          <w:p w14:paraId="23DB4B27" w14:textId="33B2F47B" w:rsidR="006F08CE" w:rsidRPr="004B1171" w:rsidRDefault="006F08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Nacrt Odluke je </w:t>
            </w:r>
            <w:r w:rsidRPr="006F08CE">
              <w:rPr>
                <w:sz w:val="24"/>
                <w:szCs w:val="24"/>
                <w:lang w:val="hr-BA"/>
              </w:rPr>
              <w:t>objavljen</w:t>
            </w:r>
            <w:r>
              <w:rPr>
                <w:sz w:val="24"/>
                <w:szCs w:val="24"/>
              </w:rPr>
              <w:t xml:space="preserve"> 24. Listopada a rok za podnošenje prijedloga bio je</w:t>
            </w:r>
            <w:r w:rsidR="00F81314">
              <w:rPr>
                <w:sz w:val="24"/>
                <w:szCs w:val="24"/>
              </w:rPr>
              <w:t xml:space="preserve"> do</w:t>
            </w:r>
            <w:r>
              <w:rPr>
                <w:sz w:val="24"/>
                <w:szCs w:val="24"/>
              </w:rPr>
              <w:t xml:space="preserve"> 23. Stude</w:t>
            </w:r>
            <w:r w:rsidR="00F81314">
              <w:rPr>
                <w:sz w:val="24"/>
                <w:szCs w:val="24"/>
              </w:rPr>
              <w:t>nog</w:t>
            </w:r>
            <w:r>
              <w:rPr>
                <w:sz w:val="24"/>
                <w:szCs w:val="24"/>
              </w:rPr>
              <w:t xml:space="preserve"> 2023. godine </w:t>
            </w:r>
          </w:p>
        </w:tc>
      </w:tr>
      <w:tr w:rsidR="004B1171" w:rsidRPr="004B1171" w14:paraId="5F07F474" w14:textId="77777777" w:rsidTr="004B1171">
        <w:trPr>
          <w:trHeight w:val="427"/>
        </w:trPr>
        <w:tc>
          <w:tcPr>
            <w:tcW w:w="3361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tcMar>
              <w:top w:w="39" w:type="dxa"/>
              <w:left w:w="39" w:type="dxa"/>
              <w:bottom w:w="39" w:type="dxa"/>
              <w:right w:w="39" w:type="dxa"/>
            </w:tcMar>
            <w:hideMark/>
          </w:tcPr>
          <w:p w14:paraId="38411D60" w14:textId="77777777" w:rsidR="004B1171" w:rsidRPr="004B1171" w:rsidRDefault="004B1171">
            <w:pPr>
              <w:rPr>
                <w:sz w:val="24"/>
                <w:szCs w:val="24"/>
              </w:rPr>
            </w:pPr>
            <w:r w:rsidRPr="004B1171">
              <w:rPr>
                <w:rFonts w:eastAsia="Calibri"/>
                <w:color w:val="000000"/>
                <w:sz w:val="24"/>
                <w:szCs w:val="24"/>
              </w:rPr>
              <w:t>Koji su predstavnici zainteresirane javnosti dostavili svoja očitovanja?</w:t>
            </w:r>
          </w:p>
        </w:tc>
        <w:tc>
          <w:tcPr>
            <w:tcW w:w="5596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tcMar>
              <w:top w:w="39" w:type="dxa"/>
              <w:left w:w="39" w:type="dxa"/>
              <w:bottom w:w="39" w:type="dxa"/>
              <w:right w:w="39" w:type="dxa"/>
            </w:tcMar>
            <w:hideMark/>
          </w:tcPr>
          <w:p w14:paraId="3510C2A5" w14:textId="6BADC04F" w:rsidR="004B1171" w:rsidRPr="004B1171" w:rsidRDefault="004B1171">
            <w:pPr>
              <w:rPr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 xml:space="preserve">Dario Jednobrković </w:t>
            </w:r>
            <w:r w:rsidR="006F08CE">
              <w:rPr>
                <w:rFonts w:eastAsia="Calibri"/>
                <w:color w:val="000000"/>
                <w:sz w:val="24"/>
                <w:szCs w:val="24"/>
              </w:rPr>
              <w:t xml:space="preserve">predstavnik građana </w:t>
            </w:r>
          </w:p>
        </w:tc>
      </w:tr>
      <w:tr w:rsidR="00CD6598" w:rsidRPr="004B1171" w14:paraId="2D0B832B" w14:textId="77777777" w:rsidTr="004B1171">
        <w:trPr>
          <w:trHeight w:val="427"/>
        </w:trPr>
        <w:tc>
          <w:tcPr>
            <w:tcW w:w="3361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34A58D73" w14:textId="6A0E4D9C" w:rsidR="00CD6598" w:rsidRPr="004B1171" w:rsidRDefault="00CD6598">
            <w:pPr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 xml:space="preserve">Tekst primjedbe/prijedloga/mišljenja </w:t>
            </w:r>
          </w:p>
        </w:tc>
        <w:tc>
          <w:tcPr>
            <w:tcW w:w="5596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tcMar>
              <w:top w:w="39" w:type="dxa"/>
              <w:left w:w="39" w:type="dxa"/>
              <w:bottom w:w="39" w:type="dxa"/>
              <w:right w:w="39" w:type="dxa"/>
            </w:tcMar>
          </w:tcPr>
          <w:p w14:paraId="7A6190FC" w14:textId="77777777" w:rsidR="00CD6598" w:rsidRDefault="00CD6598">
            <w:pPr>
              <w:rPr>
                <w:rFonts w:eastAsia="Calibri"/>
                <w:noProof/>
                <w:color w:val="000000"/>
                <w:sz w:val="24"/>
                <w:szCs w:val="24"/>
              </w:rPr>
            </w:pPr>
            <w:r>
              <w:rPr>
                <w:rFonts w:eastAsia="Calibri"/>
                <w:noProof/>
                <w:color w:val="000000"/>
                <w:sz w:val="24"/>
                <w:szCs w:val="24"/>
              </w:rPr>
              <w:t>„Smatram da je stopa od 20% koja se planira u budućnosti primjenjivati visoka i da ju treba smanjiti jer sukladno članku 19.a stavku 2. Zakona o porezu na dohodak („Narodne Novine“ broj 115/16, 106/18, 121/19, 32/20, 138/20, 151/22 i 114/23) općina može utvrditi nižu stopu u granicama od 15% do 22%. Stopa od 20% nije čak ni sredina (18,5%) između granica već je iznad sredine.</w:t>
            </w:r>
          </w:p>
          <w:p w14:paraId="05EA0A55" w14:textId="77777777" w:rsidR="00CD6598" w:rsidRDefault="00CD6598">
            <w:pPr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 xml:space="preserve">Imajući u vidu da su prihodi od poreza na dohodak jedni od najznačajnijih prihoda Proračuna općine i da bi svaka izmjena porezne stope utjecala na ostvarenje istih smatram da bi najavljeni i predviđeni rast dohotka u 2024. i idućim godinama bez problema nadoknadio tu razliku u priljevu sredstava poreza na dohodak. </w:t>
            </w:r>
          </w:p>
          <w:p w14:paraId="375A1225" w14:textId="77777777" w:rsidR="00CD6598" w:rsidRDefault="00CD6598">
            <w:pPr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 xml:space="preserve">Obzirom da najveći broj poreznih obveznika općine (vjerojatno 99%) spada u poreznu kategoriju sa </w:t>
            </w:r>
            <w:r>
              <w:rPr>
                <w:rFonts w:eastAsia="Calibri"/>
                <w:color w:val="000000"/>
                <w:sz w:val="24"/>
                <w:szCs w:val="24"/>
              </w:rPr>
              <w:lastRenderedPageBreak/>
              <w:t xml:space="preserve">primanjima do 50.400,00 EUR smatram da bi stopa od 15% bila dobra odluka. </w:t>
            </w:r>
          </w:p>
          <w:p w14:paraId="4E304673" w14:textId="0497D264" w:rsidR="00CD6598" w:rsidRDefault="00CD6598">
            <w:pPr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Takvom odlukom Općine se povećavaju mjesečna primanja (budget) obiteljima i na taj način olakšava prebroditi sveopći rast životnih troškova koji se predviđa u narednom periodu“</w:t>
            </w:r>
          </w:p>
        </w:tc>
      </w:tr>
      <w:tr w:rsidR="004B1171" w:rsidRPr="004B1171" w14:paraId="5D2FDBF8" w14:textId="77777777" w:rsidTr="004B1171">
        <w:trPr>
          <w:trHeight w:val="427"/>
        </w:trPr>
        <w:tc>
          <w:tcPr>
            <w:tcW w:w="3361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tcMar>
              <w:top w:w="39" w:type="dxa"/>
              <w:left w:w="39" w:type="dxa"/>
              <w:bottom w:w="39" w:type="dxa"/>
              <w:right w:w="39" w:type="dxa"/>
            </w:tcMar>
            <w:hideMark/>
          </w:tcPr>
          <w:p w14:paraId="4F39EF0A" w14:textId="569EDAD3" w:rsidR="004B1171" w:rsidRPr="004B1171" w:rsidRDefault="004B1171">
            <w:pPr>
              <w:rPr>
                <w:sz w:val="24"/>
                <w:szCs w:val="24"/>
              </w:rPr>
            </w:pPr>
            <w:r w:rsidRPr="004B1171">
              <w:rPr>
                <w:rFonts w:eastAsia="Calibri"/>
                <w:color w:val="000000"/>
                <w:sz w:val="24"/>
                <w:szCs w:val="24"/>
              </w:rPr>
              <w:lastRenderedPageBreak/>
              <w:t>ANALIZA DOSTAVLJENIH PRIMJEDBI</w:t>
            </w:r>
            <w:r w:rsidRPr="004B1171">
              <w:rPr>
                <w:rFonts w:eastAsia="Calibri"/>
                <w:color w:val="000000"/>
                <w:sz w:val="24"/>
                <w:szCs w:val="24"/>
              </w:rPr>
              <w:br/>
            </w:r>
            <w:r w:rsidRPr="004B1171">
              <w:rPr>
                <w:rFonts w:eastAsia="Calibri"/>
                <w:color w:val="000000"/>
                <w:sz w:val="24"/>
                <w:szCs w:val="24"/>
              </w:rPr>
              <w:br/>
              <w:t xml:space="preserve">Primjedbe koje su prihvaćene </w:t>
            </w:r>
            <w:r w:rsidRPr="004B1171">
              <w:rPr>
                <w:rFonts w:eastAsia="Calibri"/>
                <w:color w:val="000000"/>
                <w:sz w:val="24"/>
                <w:szCs w:val="24"/>
              </w:rPr>
              <w:br/>
            </w:r>
            <w:r w:rsidRPr="004B1171">
              <w:rPr>
                <w:rFonts w:eastAsia="Calibri"/>
                <w:color w:val="000000"/>
                <w:sz w:val="24"/>
                <w:szCs w:val="24"/>
              </w:rPr>
              <w:br/>
              <w:t>Primjedbe koje nisu prihvaćene i obrazloženje razloga za neprihvaćanje</w:t>
            </w:r>
            <w:r w:rsidRPr="004B1171">
              <w:rPr>
                <w:rFonts w:eastAsia="Calibri"/>
                <w:color w:val="000000"/>
                <w:sz w:val="24"/>
                <w:szCs w:val="24"/>
              </w:rPr>
              <w:br/>
            </w:r>
          </w:p>
        </w:tc>
        <w:tc>
          <w:tcPr>
            <w:tcW w:w="5596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tcMar>
              <w:top w:w="39" w:type="dxa"/>
              <w:left w:w="39" w:type="dxa"/>
              <w:bottom w:w="39" w:type="dxa"/>
              <w:right w:w="39" w:type="dxa"/>
            </w:tcMar>
            <w:hideMark/>
          </w:tcPr>
          <w:p w14:paraId="31DDD791" w14:textId="77777777" w:rsidR="004B1171" w:rsidRDefault="004B1171">
            <w:pPr>
              <w:rPr>
                <w:sz w:val="24"/>
                <w:szCs w:val="24"/>
              </w:rPr>
            </w:pPr>
          </w:p>
          <w:p w14:paraId="6FA2975B" w14:textId="77777777" w:rsidR="006F08CE" w:rsidRPr="006F08CE" w:rsidRDefault="006F08CE" w:rsidP="006F08CE">
            <w:pPr>
              <w:rPr>
                <w:sz w:val="24"/>
                <w:szCs w:val="24"/>
              </w:rPr>
            </w:pPr>
          </w:p>
          <w:p w14:paraId="408CC880" w14:textId="77777777" w:rsidR="006F08CE" w:rsidRDefault="006F08CE" w:rsidP="006F08CE">
            <w:pPr>
              <w:rPr>
                <w:sz w:val="24"/>
                <w:szCs w:val="24"/>
              </w:rPr>
            </w:pPr>
          </w:p>
          <w:p w14:paraId="0AE784C2" w14:textId="37D0B576" w:rsidR="006F08CE" w:rsidRDefault="00F81314" w:rsidP="006F08CE">
            <w:pPr>
              <w:rPr>
                <w:sz w:val="24"/>
                <w:szCs w:val="24"/>
              </w:rPr>
            </w:pPr>
            <w:r>
              <w:rPr>
                <w:rFonts w:eastAsia="Calibri"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34C6B8B" wp14:editId="3C9D2186">
                      <wp:simplePos x="0" y="0"/>
                      <wp:positionH relativeFrom="column">
                        <wp:posOffset>-2173605</wp:posOffset>
                      </wp:positionH>
                      <wp:positionV relativeFrom="paragraph">
                        <wp:posOffset>256540</wp:posOffset>
                      </wp:positionV>
                      <wp:extent cx="5699760" cy="7620"/>
                      <wp:effectExtent l="0" t="0" r="34290" b="30480"/>
                      <wp:wrapNone/>
                      <wp:docPr id="1141334882" name="Ravni povezni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699760" cy="76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E96594" id="Ravni poveznik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71.15pt,20.2pt" to="277.65pt,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="0014210C">
              <w:rPr>
                <w:sz w:val="24"/>
                <w:szCs w:val="24"/>
              </w:rPr>
              <w:t>Nema</w:t>
            </w:r>
          </w:p>
          <w:p w14:paraId="0EDAE9D6" w14:textId="77777777" w:rsidR="006F08CE" w:rsidRDefault="006F08CE" w:rsidP="006F08CE">
            <w:pPr>
              <w:rPr>
                <w:sz w:val="24"/>
                <w:szCs w:val="24"/>
              </w:rPr>
            </w:pPr>
          </w:p>
          <w:p w14:paraId="3F1AD0E7" w14:textId="12622DBF" w:rsidR="006F08CE" w:rsidRDefault="006F08CE" w:rsidP="006F08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Primjedba</w:t>
            </w:r>
            <w:r w:rsidR="0012005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nije prihvaćena</w:t>
            </w:r>
            <w:r w:rsidR="00120052">
              <w:rPr>
                <w:sz w:val="24"/>
                <w:szCs w:val="24"/>
              </w:rPr>
              <w:t xml:space="preserve"> iz razloga što je izradi nacrta Odluke o stopi godišnjeg poreza na dohodak prethodila detaljn</w:t>
            </w:r>
            <w:r w:rsidR="00766B73">
              <w:rPr>
                <w:sz w:val="24"/>
                <w:szCs w:val="24"/>
              </w:rPr>
              <w:t>a</w:t>
            </w:r>
            <w:r w:rsidR="00120052">
              <w:rPr>
                <w:sz w:val="24"/>
                <w:szCs w:val="24"/>
              </w:rPr>
              <w:t xml:space="preserve"> analiz</w:t>
            </w:r>
            <w:r w:rsidR="00766B73">
              <w:rPr>
                <w:sz w:val="24"/>
                <w:szCs w:val="24"/>
              </w:rPr>
              <w:t>a</w:t>
            </w:r>
            <w:r w:rsidR="00120052">
              <w:rPr>
                <w:sz w:val="24"/>
                <w:szCs w:val="24"/>
              </w:rPr>
              <w:t xml:space="preserve"> prihoda i rashoda te primitaka i izdataka Općine Klakar za razdoblje od 2024. godine sa projekcijama za iduće godine, te bi predloženo</w:t>
            </w:r>
            <w:r>
              <w:rPr>
                <w:sz w:val="24"/>
                <w:szCs w:val="24"/>
              </w:rPr>
              <w:t xml:space="preserve"> smanjenje stope godišnjeg poreza na dohodak </w:t>
            </w:r>
            <w:r w:rsidR="00F81314">
              <w:rPr>
                <w:sz w:val="24"/>
                <w:szCs w:val="24"/>
              </w:rPr>
              <w:t>predstavljalo</w:t>
            </w:r>
            <w:r>
              <w:rPr>
                <w:sz w:val="24"/>
                <w:szCs w:val="24"/>
              </w:rPr>
              <w:t xml:space="preserve"> pad prihoda za proračun Općine Klakar, koji se ne bi mogao nadoknaditi iz drugih izvora financiranja.</w:t>
            </w:r>
            <w:r w:rsidR="00126B9E">
              <w:rPr>
                <w:sz w:val="24"/>
                <w:szCs w:val="24"/>
              </w:rPr>
              <w:t xml:space="preserve"> Nastavno na sve prethodno navedeno podsjećamo kako Općina Klakar nije imala uveden prirez porezu na dohodak, te je univerzalna niža stopa poreza na dohodak iznosila 20%, kao što će i ostati u 2024. godini, odnosno za porezne obveznike neće biti nikakve promjene.</w:t>
            </w:r>
          </w:p>
          <w:p w14:paraId="7C9437DC" w14:textId="2DA75965" w:rsidR="006F08CE" w:rsidRPr="006F08CE" w:rsidRDefault="006F08CE" w:rsidP="006F08CE">
            <w:pPr>
              <w:rPr>
                <w:sz w:val="24"/>
                <w:szCs w:val="24"/>
              </w:rPr>
            </w:pPr>
          </w:p>
        </w:tc>
      </w:tr>
      <w:tr w:rsidR="004B1171" w:rsidRPr="004B1171" w14:paraId="62DE005A" w14:textId="77777777" w:rsidTr="004B1171">
        <w:trPr>
          <w:trHeight w:val="427"/>
        </w:trPr>
        <w:tc>
          <w:tcPr>
            <w:tcW w:w="3361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tcMar>
              <w:top w:w="39" w:type="dxa"/>
              <w:left w:w="39" w:type="dxa"/>
              <w:bottom w:w="39" w:type="dxa"/>
              <w:right w:w="39" w:type="dxa"/>
            </w:tcMar>
            <w:hideMark/>
          </w:tcPr>
          <w:p w14:paraId="1016AC69" w14:textId="77777777" w:rsidR="004B1171" w:rsidRPr="004B1171" w:rsidRDefault="004B1171">
            <w:pPr>
              <w:rPr>
                <w:sz w:val="24"/>
                <w:szCs w:val="24"/>
              </w:rPr>
            </w:pPr>
            <w:r w:rsidRPr="004B1171">
              <w:rPr>
                <w:rFonts w:eastAsia="Calibri"/>
                <w:color w:val="000000"/>
                <w:sz w:val="24"/>
                <w:szCs w:val="24"/>
              </w:rPr>
              <w:t>Troškovi provedenog savjetovanja</w:t>
            </w:r>
          </w:p>
        </w:tc>
        <w:tc>
          <w:tcPr>
            <w:tcW w:w="5596" w:type="dxa"/>
            <w:tcBorders>
              <w:top w:val="single" w:sz="8" w:space="0" w:color="D3D3D3"/>
              <w:left w:val="single" w:sz="8" w:space="0" w:color="D3D3D3"/>
              <w:bottom w:val="single" w:sz="8" w:space="0" w:color="D3D3D3"/>
              <w:right w:val="single" w:sz="8" w:space="0" w:color="D3D3D3"/>
            </w:tcBorders>
            <w:tcMar>
              <w:top w:w="39" w:type="dxa"/>
              <w:left w:w="39" w:type="dxa"/>
              <w:bottom w:w="39" w:type="dxa"/>
              <w:right w:w="39" w:type="dxa"/>
            </w:tcMar>
            <w:hideMark/>
          </w:tcPr>
          <w:p w14:paraId="50E10086" w14:textId="6936F307" w:rsidR="004B1171" w:rsidRPr="004B1171" w:rsidRDefault="004B1171">
            <w:pPr>
              <w:rPr>
                <w:sz w:val="24"/>
                <w:szCs w:val="24"/>
              </w:rPr>
            </w:pPr>
            <w:r w:rsidRPr="004B1171">
              <w:rPr>
                <w:rFonts w:eastAsia="Calibri"/>
                <w:color w:val="000000"/>
                <w:sz w:val="24"/>
                <w:szCs w:val="24"/>
              </w:rPr>
              <w:t xml:space="preserve">Provedba javnog </w:t>
            </w:r>
            <w:r w:rsidR="006F08CE" w:rsidRPr="004B1171">
              <w:rPr>
                <w:rFonts w:eastAsia="Calibri"/>
                <w:color w:val="000000"/>
                <w:sz w:val="24"/>
                <w:szCs w:val="24"/>
              </w:rPr>
              <w:t>savjetovanja</w:t>
            </w:r>
            <w:r w:rsidRPr="004B1171">
              <w:rPr>
                <w:rFonts w:eastAsia="Calibri"/>
                <w:color w:val="000000"/>
                <w:sz w:val="24"/>
                <w:szCs w:val="24"/>
              </w:rPr>
              <w:t xml:space="preserve"> nije iziskivala dodatne financijske troškove.</w:t>
            </w:r>
          </w:p>
        </w:tc>
      </w:tr>
    </w:tbl>
    <w:p w14:paraId="0F512252" w14:textId="771014A2" w:rsidR="00F81314" w:rsidRPr="00F81314" w:rsidRDefault="00F81314" w:rsidP="00F81314">
      <w:pPr>
        <w:tabs>
          <w:tab w:val="left" w:pos="2232"/>
        </w:tabs>
        <w:rPr>
          <w:sz w:val="24"/>
          <w:szCs w:val="24"/>
        </w:rPr>
      </w:pPr>
    </w:p>
    <w:sectPr w:rsidR="00F81314" w:rsidRPr="00F813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171"/>
    <w:rsid w:val="00120052"/>
    <w:rsid w:val="00126B9E"/>
    <w:rsid w:val="0014210C"/>
    <w:rsid w:val="002179A3"/>
    <w:rsid w:val="004B1171"/>
    <w:rsid w:val="006F08CE"/>
    <w:rsid w:val="00766B73"/>
    <w:rsid w:val="00BA318C"/>
    <w:rsid w:val="00CD6598"/>
    <w:rsid w:val="00D27E1C"/>
    <w:rsid w:val="00F81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707923"/>
  <w15:chartTrackingRefBased/>
  <w15:docId w15:val="{93006347-DE76-482C-9B37-A8DB387B8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1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4B1171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4B11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5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pcinaklakar.hr/2023/10/24/savjetovanje-sa-zainteresiranom-javnoscu/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502</Words>
  <Characters>2865</Characters>
  <Application>Microsoft Office Word</Application>
  <DocSecurity>0</DocSecurity>
  <Lines>23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Stanić</dc:creator>
  <cp:keywords/>
  <dc:description/>
  <cp:lastModifiedBy>Ana Stanić</cp:lastModifiedBy>
  <cp:revision>5</cp:revision>
  <cp:lastPrinted>2023-11-29T08:17:00Z</cp:lastPrinted>
  <dcterms:created xsi:type="dcterms:W3CDTF">2023-11-27T13:50:00Z</dcterms:created>
  <dcterms:modified xsi:type="dcterms:W3CDTF">2023-11-29T12:39:00Z</dcterms:modified>
</cp:coreProperties>
</file>