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be280e13334d49cf" /></Relationships>
</file>

<file path=word/document.xml><?xml version="1.0" encoding="utf-8"?>
<w:document xmlns:w="http://schemas.openxmlformats.org/wordprocessingml/2006/main">
  <w:body>
    <w:tbl>
      <w:tblPr>
        <w:tblW w:w="9000" w:type="dxa"/>
        <w:tblBorders>
          <w:top w:val="nil"/>
          <w:bottom w:val="nil"/>
          <w:left w:val="nil"/>
          <w:right w:val="nil"/>
          <w:insideH w:val="nil"/>
          <w:insideV w:val="nil"/>
        </w:tblBorders>
        <w:tblCellSpacing w:w="60" w:type="dxa"/>
        <w:shd w:val="clear" w:color="auto" w:fill="E7F0F9"/>
      </w:tblPr>
      <w:tblGrid>
        <w:gridCol w:w="1200"/>
        <w:gridCol w:w="4500"/>
      </w:tblGrid>
      <w:tr>
        <w:tc>
          <w:tcPr>
            <w:tcW w:w="1200" w:type="pct"/>
            <w:shd w:val="clear" w:color="auto" w:fill="E7F0F9"/>
          </w:tcPr>
          <w:p>
            <w:pPr>
              <w:spacing w:before="0" w:after="0" w:line="240" w:lineRule="auto"/>
              <w:jc w:val="left"/>
            </w:pPr>
            <w:r>
              <w:rPr>
                <w:b/>
              </w:rPr>
              <w:t xml:space="preserve">RKP broj</w:t>
            </w:r>
          </w:p>
        </w:tc>
        <w:tc>
          <w:tcPr>
            <w:shd w:val="clear" w:color="auto" w:fill="E7F0F9"/>
          </w:tcPr>
          <w:p>
            <w:pPr>
              <w:spacing w:before="0" w:after="0" w:line="240" w:lineRule="auto"/>
              <w:jc w:val="left"/>
            </w:pPr>
            <w:r>
              <w:t xml:space="preserve">36895</w:t>
            </w:r>
          </w:p>
        </w:tc>
      </w:tr>
      <w:tr>
        <w:tc>
          <w:tcPr>
            <w:tcW w:w="1200" w:type="pct"/>
            <w:shd w:val="clear" w:color="auto" w:fill="E7F0F9"/>
          </w:tcPr>
          <w:p>
            <w:pPr>
              <w:spacing w:before="0" w:after="0" w:line="240" w:lineRule="auto"/>
              <w:jc w:val="left"/>
            </w:pPr>
            <w:r>
              <w:rPr>
                <w:b/>
              </w:rPr>
              <w:t xml:space="preserve">Naziv obveznika</w:t>
            </w:r>
          </w:p>
        </w:tc>
        <w:tc>
          <w:tcPr>
            <w:shd w:val="clear" w:color="auto" w:fill="E7F0F9"/>
          </w:tcPr>
          <w:p>
            <w:pPr>
              <w:spacing w:before="0" w:after="0" w:line="240" w:lineRule="auto"/>
              <w:jc w:val="left"/>
            </w:pPr>
            <w:r>
              <w:t xml:space="preserve">OPĆINA KLAKAR</w:t>
            </w:r>
          </w:p>
        </w:tc>
      </w:tr>
      <w:tr>
        <w:tc>
          <w:tcPr>
            <w:tcW w:w="1200" w:type="pct"/>
            <w:shd w:val="clear" w:color="auto" w:fill="E7F0F9"/>
          </w:tcPr>
          <w:p>
            <w:pPr>
              <w:spacing w:before="0" w:after="0" w:line="240" w:lineRule="auto"/>
              <w:jc w:val="left"/>
            </w:pPr>
            <w:r>
              <w:rPr>
                <w:b/>
              </w:rPr>
              <w:t xml:space="preserve">Razina</w:t>
            </w:r>
          </w:p>
        </w:tc>
        <w:tc>
          <w:tcPr>
            <w:shd w:val="clear" w:color="auto" w:fill="E7F0F9"/>
          </w:tcPr>
          <w:p>
            <w:pPr>
              <w:spacing w:before="0" w:after="0" w:line="240" w:lineRule="auto"/>
              <w:jc w:val="left"/>
            </w:pPr>
            <w:r>
              <w:t xml:space="preserve">22</w:t>
            </w:r>
          </w:p>
        </w:tc>
      </w:tr>
    </w:tbl>
    <w:p>
      <w:r>
        <w:br/>
      </w:r>
    </w:p>
    <w:p>
      <w:pPr>
        <w:jc w:val="center"/>
        <w:pStyle w:val="Normal"/>
        <w:spacing w:line="240" w:lineRule="auto"/>
      </w:pPr>
      <w:r>
        <w:rPr>
          <w:b/>
          <w:sz w:val="28"/>
          <w:rFonts w:ascii="Times New Roman" w:hAnsi="Times New Roman"/>
        </w:rPr>
        <w:t xml:space="preserve">BILJEŠKE UZ FINANCIJSKE IZVJEŠTAJE</w:t>
      </w:r>
    </w:p>
    <w:p>
      <w:pPr>
        <w:jc w:val="center"/>
        <w:pStyle w:val="Normal"/>
        <w:spacing w:line="240" w:lineRule="auto"/>
      </w:pPr>
      <w:r>
        <w:rPr>
          <w:b/>
          <w:sz w:val="28"/>
          <w:rFonts w:ascii="Times New Roman" w:hAnsi="Times New Roman"/>
        </w:rPr>
        <w:t xml:space="preserve">ZA RAZDOBLJE</w:t>
      </w:r>
    </w:p>
    <w:p>
      <w:pPr>
        <w:jc w:val="center"/>
        <w:pStyle w:val="Normal"/>
        <w:spacing w:line="240" w:lineRule="auto"/>
      </w:pPr>
      <w:r>
        <w:rPr>
          <w:b/>
          <w:sz w:val="28"/>
          <w:rFonts w:ascii="Times New Roman" w:hAnsi="Times New Roman"/>
        </w:rPr>
        <w:t xml:space="preserve">I - XII 2025.</w:t>
      </w:r>
    </w:p>
    <w:p/>
    <w:p>
      <w:pPr>
        <w:jc w:val="center"/>
        <w:pStyle w:val="Normal"/>
        <w:spacing w:line="240" w:lineRule="auto"/>
        <w:keepNext/>
      </w:pPr>
      <w:r>
        <w:rPr>
          <w:b/>
          <w:sz w:val="28"/>
          <w:rFonts w:ascii="Times New Roman" w:hAnsi="Times New Roman"/>
        </w:rPr>
        <w:t xml:space="preserve">Izvještaj o prihodima i rashodima, primicima i izdacima</w:t>
      </w:r>
    </w:p>
    <w:p>
      <w:pPr>
        <w:jc w:val="center"/>
        <w:pStyle w:val="Normal"/>
        <w:spacing w:line="240" w:lineRule="auto"/>
        <w:keepNext/>
      </w:pPr>
      <w:r>
        <w:rPr>
          <w:sz w:val="28"/>
          <w:rFonts w:ascii="Times New Roman" w:hAnsi="Times New Roman"/>
        </w:rPr>
        <w:t xml:space="preserve">Bilješka 1.</w:t>
      </w:r>
    </w:p>
    <w:tbl>
      <w:tblPr>
        <w:tblBorders>
          <w:top w:val="single" w:color="BABABA" w:sz="12"/>
          <w:bottom w:val="single" w:color="BABABA" w:sz="12"/>
          <w:left w:val="single" w:color="BABABA" w:sz="12"/>
          <w:right w:val="single" w:color="BABABA" w:sz="12"/>
          <w:insideH w:val="single" w:color="BABABA" w:sz="8"/>
          <w:insideV w:val="single" w:color="DADADA" w:sz="8"/>
        </w:tblBorders>
        <w:tblW w:w="0" w:type="auto"/>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POSLOVANJA (šifre 61+62+63+64+65+66+67+68)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1.874.661,75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2.246.104,26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119,8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POSLOVANJA (šifre 31+32+34+35+36+37+38)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1.427.219,36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1.530.035,88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107,2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VIŠAK PRIHODA POSLOVANJA (šifre 6-Z005)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X001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447.442,39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716.068,38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160,0</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22.609,18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1.411,02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Rashodi za nabavu nefinancijske imovine (šifre 41+42+43+44+45)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350.642,61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679.456,99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193,8</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OD NEFINANCIJSKE IMOVINE (šifre 4-7)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328.033,43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678.045,97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206,7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Primici od financijske imovine i zaduživanja (šifre 81+82+83+84+85)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Izdaci za financijsku imovinu i otplate zajmova (šifre 51+52+53+54+55)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126.284,67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128.436,62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101,7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PRIMITAKA OD FINANCIJSKE IMOVINE I ZADUŽIVANJA (šifre 5-8)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126.284,67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128.436,62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101,7</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MANJAK PRIHODA I PRIMITAKA (šifre Y345-X678)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b/>
              </w:rPr>
              <w:t>Y005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6.875,71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90.414,21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b/>
              </w:rPr>
              <w:t>1315,0</w:t>
            </w:r>
          </w:p>
        </w:tc>
      </w:tr>
    </w:tbl>
    <w:p>
      <w:pPr>
        <w:spacing w:before="0" w:after="0"/>
      </w:pPr>
    </w:p>
    <w:p>
      <w:r>
        <w:t xml:space="preserve">U razdoblju od 1. siječnja do 31. prosinca 2025. prihodi poslovanja ostvareni su u iznosu od 2.246.104,26 EUR. Najznačajnije povećanje prihoda poslovanja ostvareno je od pomoći temeljem prijenosa EU sredstava te prihoda od pomoći unutar općeg proračuna. Najznačajnije smanjenje prihoda poslovanja bilježi se na porezu na dohodak te smanjenje prihoda od doprinosa za šume. Rashodi poslovanja u razdoblju od 1. siječnja do 31. prosinca 2025. ostvareni su u iznosu od 1.530.035,88 EUR. Najznačajnije povećanje rashoda evidentirano je na plaćama i obvezama za plaće te naknadama za rad predstavničkim i izvršnih tijela. Najznačajnije smanjenje rashoda odnosi se na intelektualne i osobne usluge odnosno smanjenja rashoda za ugovore o djelu te usluge odvjetnika i pravnih savjetnika. U navedenom razdoblju prihodi od prodaje nefinancijske imovine iznose 1.411,02 EUR i odnosi se isključivo na prihode od prodaje zemljišta u vlasništvu RH. Rashodi za nabavku nefinancijske imovine iznose 679.456,99 EUR. Na povećanje rashoda za nabavku nefinancijske imovine utjecalo je povećanje rashoda za nabavu proizvodne imovine odnosno izgradnju pješačko-biciklističke staze na području Općine Klakar. U navedenom razdoblju nije bilo ostvarenih primitaka od od financijske imovine. Ostvareni izdatci za financijsku imovinu odnose se na otplatu dugoročnog kredita od HBOR-a. U razdoblju od 1. siječnja do 31. prosinca ostvaren je višak prihoda poslovanja u iznosu od 716.068,38 EUR, manjak prihoda od nefinancijske imovine u iznosu od 678.045,97 EUR te manjak od financijske imovine i zaduživanja od 128.436,62 EUR. Napravljena je obvezna korekcija rezultata u ukupnom iznosu od 430.347,94 EUR, viškom prihoda poslovanja pokriven je manjak prihoda od nefinancijske imovine. Slijedom navedenog u izvještajnom razdoblju je ostvaren ukupni manjak prihoda i primitaka u iznosu od 90.414,21 EUR. Općina je iz prethodnog razdoblja prenijela manjak od 113.614,51 EUR, stoga ukupni manjak koji se prenosi u sljedeće razdoblje je 204.028,72 EUR-a. </w:t>
      </w:r>
    </w:p>
    <w:p>
      <w:r>
        <w:br/>
      </w:r>
    </w:p>
    <w:p>
      <w:pPr>
        <w:jc w:val="center"/>
        <w:pStyle w:val="Normal"/>
        <w:spacing w:line="240" w:lineRule="auto"/>
        <w:keepNext/>
      </w:pPr>
      <w:r>
        <w:rPr>
          <w:sz w:val="28"/>
          <w:rFonts w:ascii="Times New Roman" w:hAnsi="Times New Roman"/>
        </w:rPr>
        <w:t xml:space="preserve">Bilješka 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Porezi na imovinu (šifre 6131 do 6135)</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12.740,58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19.800,43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155,4</w:t>
            </w:r>
          </w:p>
        </w:tc>
      </w:tr>
    </w:tbl>
    <w:p>
      <w:pPr>
        <w:spacing w:before="0" w:after="0"/>
      </w:pPr>
    </w:p>
    <w:p>
      <w:r>
        <w:t xml:space="preserve">Porez na imovinu povećan je za 155,40 % u izvještajnom razdoblju u odnosu na isto razdoblje prethodne godine. Rezultat je rasta odnosno povećanje prometa nekretninama na području Općine Klakar i naplati poreza kojeg utvrđuje i provodi Porezna uprava.</w:t>
      </w:r>
    </w:p>
    <w:p/>
    <w:p>
      <w:pPr>
        <w:jc w:val="center"/>
        <w:pStyle w:val="Normal"/>
        <w:spacing w:line="240" w:lineRule="auto"/>
        <w:keepNext/>
      </w:pPr>
      <w:r>
        <w:rPr>
          <w:sz w:val="28"/>
          <w:rFonts w:ascii="Times New Roman" w:hAnsi="Times New Roman"/>
        </w:rPr>
        <w:t xml:space="preserve">Bilješka 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proračunu i izvanproračunskim korisnicima iz drugih proračuna (šifre 6331+6332)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631.108,19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172.028,85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27,3</w:t>
            </w:r>
          </w:p>
        </w:tc>
      </w:tr>
    </w:tbl>
    <w:p>
      <w:pPr>
        <w:spacing w:before="0" w:after="0"/>
      </w:pPr>
    </w:p>
    <w:p>
      <w:r>
        <w:t xml:space="preserve">Iskazani iznos pomoći proračunu i izvanproračunskim korisnicima iz drugih proračuna je manji za 72,70% u odnosu na isto razdoblje prethodne godine. Razlog smanjuju je knjiženje pomoći od fiskalnog izravnanja na konto 6353. umjesto na konto 6331 kako je bilo u prijašnjim razdobljima.</w:t>
      </w:r>
    </w:p>
    <w:p/>
    <w:p>
      <w:pPr>
        <w:jc w:val="center"/>
        <w:pStyle w:val="Normal"/>
        <w:spacing w:line="240" w:lineRule="auto"/>
        <w:keepNext/>
      </w:pPr>
      <w:r>
        <w:rPr>
          <w:sz w:val="28"/>
          <w:rFonts w:ascii="Times New Roman" w:hAnsi="Times New Roman"/>
        </w:rPr>
        <w:t xml:space="preserve">Bilješka 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6332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Kapitalne pomoći proračunu i izvanproračunskim korisnicima iz drugih proračuna</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6332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95.699,46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148.172,84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154,8</w:t>
            </w:r>
          </w:p>
        </w:tc>
      </w:tr>
    </w:tbl>
    <w:p>
      <w:pPr>
        <w:spacing w:before="0" w:after="0"/>
      </w:pPr>
    </w:p>
    <w:p>
      <w:r>
        <w:t xml:space="preserve">Kapitalne pomoći proračunu i izvanproračunskim korisnicima iz drugih proračuna su veće za 54,80% u odnosu na prethodno razdoblje. Općina je dobila sredstva za kapitalne projekte:  Izgradnja ograde oko škole Vladimira Nazora u Ruščici, Uređenje javne površine ispred mjesnog doma i Donjoj Bebrini, Izgradnja pješačko biciklističke staze-nastavak od G. VRBE do OŠ Vladimira Nazora u Ruščici te Izgradnja pješačke staze s parkingom u Školskoj ulici. Dio sredstava je Općina dobila i od županije za projekt Sanacije kolnika nerazvrstanih cesta u Donjoj Bebrini.</w:t>
      </w:r>
    </w:p>
    <w:p/>
    <w:p>
      <w:pPr>
        <w:jc w:val="center"/>
        <w:pStyle w:val="Normal"/>
        <w:spacing w:line="240" w:lineRule="auto"/>
        <w:keepNext/>
      </w:pPr>
      <w:r>
        <w:rPr>
          <w:sz w:val="28"/>
          <w:rFonts w:ascii="Times New Roman" w:hAnsi="Times New Roman"/>
        </w:rPr>
        <w:t xml:space="preserve">Bilješka 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Pomoći temeljem prijenosa EU sredstava (šifre 6381+6382)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638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173.870,40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527.875,90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303,6</w:t>
            </w:r>
          </w:p>
        </w:tc>
      </w:tr>
    </w:tbl>
    <w:p>
      <w:pPr>
        <w:spacing w:before="0" w:after="0"/>
      </w:pPr>
    </w:p>
    <w:p>
      <w:r>
        <w:t xml:space="preserve">Pomoći temeljem prijenosa EU sredstava povećane su za 203,60% u odnosu na isto razdoblje prethodne godine. Prihodi od tekućih pomoći temeljem prijenosa EU sredstava za provođenje projekta Zaželi-prevencija institucionalizacije "Snaga zajednice". Kapitalne pomoći temeljem prijenosa EU sredstava za projekt Izgradnje pješačko-biciklističke staze u mjestu Ruščica preko Kohezijskog fonda.</w:t>
      </w:r>
    </w:p>
    <w:p/>
    <w:p>
      <w:pPr>
        <w:jc w:val="center"/>
        <w:pStyle w:val="Normal"/>
        <w:spacing w:line="240" w:lineRule="auto"/>
        <w:keepNext/>
      </w:pPr>
      <w:r>
        <w:rPr>
          <w:sz w:val="28"/>
          <w:rFonts w:ascii="Times New Roman" w:hAnsi="Times New Roman"/>
        </w:rPr>
        <w:t xml:space="preserve">Bilješka 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Županijske, gradske i općinske pristojbe i naknade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8.694,49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11.624,46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133,7</w:t>
            </w:r>
          </w:p>
        </w:tc>
      </w:tr>
    </w:tbl>
    <w:p>
      <w:pPr>
        <w:spacing w:before="0" w:after="0"/>
      </w:pPr>
    </w:p>
    <w:p>
      <w:r>
        <w:t xml:space="preserve">Županijske, gradske i općinske pristojbe i naknade su veće 33,70% što je posljedica veće naplate grobne naknade .</w:t>
      </w:r>
    </w:p>
    <w:p/>
    <w:p>
      <w:pPr>
        <w:jc w:val="center"/>
        <w:pStyle w:val="Normal"/>
        <w:spacing w:line="240" w:lineRule="auto"/>
        <w:keepNext/>
      </w:pPr>
      <w:r>
        <w:rPr>
          <w:sz w:val="28"/>
          <w:rFonts w:ascii="Times New Roman" w:hAnsi="Times New Roman"/>
        </w:rPr>
        <w:t xml:space="preserve">Bilješka 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Doprinosi za šume</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6524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127.938,26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544,43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0,4</w:t>
            </w:r>
          </w:p>
        </w:tc>
      </w:tr>
    </w:tbl>
    <w:p>
      <w:pPr>
        <w:spacing w:before="0" w:after="0"/>
      </w:pPr>
    </w:p>
    <w:p>
      <w:r>
        <w:t xml:space="preserve">Doprinos za šume je u izvještajnom razdoblju smanjen za 99,60 % što je rezultat smanjene sječe šuma na području Općine Klakar.</w:t>
      </w:r>
    </w:p>
    <w:p/>
    <w:p>
      <w:pPr>
        <w:jc w:val="center"/>
        <w:pStyle w:val="Normal"/>
        <w:spacing w:line="240" w:lineRule="auto"/>
        <w:keepNext/>
      </w:pPr>
      <w:r>
        <w:rPr>
          <w:sz w:val="28"/>
          <w:rFonts w:ascii="Times New Roman" w:hAnsi="Times New Roman"/>
        </w:rPr>
        <w:t xml:space="preserve">Bilješka 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Plaće (bruto) (šifre 3111 do 3114)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188.447,29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309.070,59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164,0</w:t>
            </w:r>
          </w:p>
        </w:tc>
      </w:tr>
    </w:tbl>
    <w:p>
      <w:pPr>
        <w:spacing w:before="0" w:after="0"/>
      </w:pPr>
    </w:p>
    <w:p>
      <w:r>
        <w:t xml:space="preserve">Rashod za bruto plaće veći je za 64 % u odnosu na izvještajno razdoblje prošle godine. Povećanje rashoda za plaće je posljedica povećanja broja zaposlenih preko projekta Zaželi ukupno 15 djelatnica te još 2 djelatnice zaposlene su preko mjere Javni radovi . Prethodne godine trošak brto plaće je bio manji s obzirom da su djelatnice u projektu Zaželi radile samo dio godine.</w:t>
      </w:r>
    </w:p>
    <w:p/>
    <w:p>
      <w:pPr>
        <w:jc w:val="center"/>
        <w:pStyle w:val="Normal"/>
        <w:spacing w:line="240" w:lineRule="auto"/>
        <w:keepNext/>
      </w:pPr>
      <w:r>
        <w:rPr>
          <w:sz w:val="28"/>
          <w:rFonts w:ascii="Times New Roman" w:hAnsi="Times New Roman"/>
        </w:rPr>
        <w:t xml:space="preserve">Bilješka 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Prijenosi proračunskim korisnicima iz nadležnog proračuna za financiranje redovne djelatnosti (šifre 3672 do 3674)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367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197.119,73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245.360,93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124,5</w:t>
            </w:r>
          </w:p>
        </w:tc>
      </w:tr>
    </w:tbl>
    <w:p>
      <w:pPr>
        <w:spacing w:before="0" w:after="0"/>
      </w:pPr>
    </w:p>
    <w:p>
      <w:r>
        <w:t xml:space="preserve">Prijenosi proračunskim korisnicima iz nadležnog proračuna za financiranje redovne djelatnosti povećani su za 24,50 % u odnosu na prethodno izvještajno razdoblje a odnose se na povećanje sredstava ta tekuće rashode poslovanje kao i za nabavku nefinancijske imovine za predškolski odgoj Dječjem vrtiću "Roda" u Ruščici.</w:t>
      </w:r>
    </w:p>
    <w:p>
      <w:r>
        <w:t xml:space="preserve"> </w:t>
      </w:r>
    </w:p>
    <w:p/>
    <w:p>
      <w:pPr>
        <w:jc w:val="center"/>
        <w:pStyle w:val="Normal"/>
        <w:spacing w:line="240" w:lineRule="auto"/>
        <w:keepNext/>
      </w:pPr>
      <w:r>
        <w:rPr>
          <w:sz w:val="28"/>
          <w:rFonts w:ascii="Times New Roman" w:hAnsi="Times New Roman"/>
        </w:rPr>
        <w:t xml:space="preserve">Bilješka 10.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Prihodi od prodaje nefinancijske imovine (šifre 71+72+73+74)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22.609,18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1.411,02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6,2</w:t>
            </w:r>
          </w:p>
        </w:tc>
      </w:tr>
    </w:tbl>
    <w:p>
      <w:pPr>
        <w:spacing w:before="0" w:after="0"/>
      </w:pPr>
    </w:p>
    <w:p>
      <w:r>
        <w:t xml:space="preserve">Prihodi od prodaje nefinancijske imovine manji su za 93,80 % što je posljedica veće prodaje zemljišta u vlasništvu RH u 2024. godini Hrvatskim Vodama.</w:t>
      </w:r>
    </w:p>
    <w:p/>
    <w:p>
      <w:pPr>
        <w:jc w:val="center"/>
        <w:pStyle w:val="Normal"/>
        <w:spacing w:line="240" w:lineRule="auto"/>
        <w:keepNext/>
      </w:pPr>
      <w:r>
        <w:rPr>
          <w:sz w:val="28"/>
          <w:rFonts w:ascii="Times New Roman" w:hAnsi="Times New Roman"/>
        </w:rPr>
        <w:t xml:space="preserve">Bilješka 11.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Ceste, željeznice i ostali prometni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4213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76.874,50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442.394,84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575,5</w:t>
            </w:r>
          </w:p>
        </w:tc>
      </w:tr>
    </w:tbl>
    <w:p>
      <w:pPr>
        <w:spacing w:before="0" w:after="0"/>
      </w:pPr>
    </w:p>
    <w:p>
      <w:r>
        <w:t xml:space="preserve">Rashodi za ceste i ostale prometne objekte u izvještajnom razdoblju u 2025. godini su povećani za 475,50% te se odnose najvećim dijelom na ulaganja u Izgradnju pješačko-biciklističke staze u Ruščici, Izgradnja pješačko biciklističke staze-nastavak od G. VRBE do OŠ Vladimira Nazora u Ruščici te Izgradnja pješačke staze s parkingom u Školskoj ulici. </w:t>
      </w:r>
    </w:p>
    <w:p/>
    <w:p>
      <w:pPr>
        <w:jc w:val="center"/>
        <w:pStyle w:val="Normal"/>
        <w:spacing w:line="240" w:lineRule="auto"/>
        <w:keepNext/>
      </w:pPr>
      <w:r>
        <w:rPr>
          <w:sz w:val="28"/>
          <w:rFonts w:ascii="Times New Roman" w:hAnsi="Times New Roman"/>
        </w:rPr>
        <w:t xml:space="preserve">Bilješka 12.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prethodne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Ostvareno u izvještajnom razdoblju tekuće godine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542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Otplata glavnice primljenih kredita i zajmova od kreditnih i ostalih financijskih institucija u javnom sektoru (šifre 5422 do 5424)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542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119.261,35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128.436,62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107,7</w:t>
            </w:r>
          </w:p>
        </w:tc>
      </w:tr>
    </w:tbl>
    <w:p>
      <w:pPr>
        <w:spacing w:before="0" w:after="0"/>
      </w:pPr>
    </w:p>
    <w:p>
      <w:r>
        <w:t xml:space="preserve">Iznos se odnosi na otplatu dugogodišnjeg kredita HBOR-u iz prijašnjih godina namijenjenog za izgradnju Dječjeg vrtića Roda u Ruščici.</w:t>
      </w:r>
    </w:p>
    <w:p/>
    <w:p>
      <w:pPr>
        <w:jc w:val="center"/>
        <w:pStyle w:val="Normal"/>
        <w:spacing w:line="240" w:lineRule="auto"/>
        <w:keepNext/>
      </w:pPr>
      <w:r>
        <w:rPr>
          <w:b/>
          <w:sz w:val="28"/>
          <w:rFonts w:ascii="Times New Roman" w:hAnsi="Times New Roman"/>
        </w:rPr>
        <w:t xml:space="preserve">Bilanca</w:t>
      </w:r>
    </w:p>
    <w:p>
      <w:pPr>
        <w:jc w:val="center"/>
        <w:pStyle w:val="Normal"/>
        <w:spacing w:line="240" w:lineRule="auto"/>
        <w:keepNext/>
      </w:pPr>
      <w:r>
        <w:rPr>
          <w:sz w:val="28"/>
          <w:rFonts w:ascii="Times New Roman" w:hAnsi="Times New Roman"/>
        </w:rPr>
        <w:t xml:space="preserve">Bilješka 13.</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0213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Ceste, željeznice i ostali prometni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0213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2.364.928,91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2.875.169,68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121,6</w:t>
            </w:r>
          </w:p>
        </w:tc>
      </w:tr>
    </w:tbl>
    <w:p>
      <w:pPr>
        <w:spacing w:before="0" w:after="0"/>
      </w:pPr>
    </w:p>
    <w:p>
      <w:r>
        <w:t xml:space="preserve">Povećanje vrijednosti imovina na cestama i ostalim prometnim objekti za 21.60% je posljedica stavljanja u upotrebu pješačko biciklističke staze koja je 2025. godine građena te evidentiranje komunalne infrastrukture koja u prethodnim razdobljima nije evidentirana u imovini Općine.</w:t>
      </w:r>
    </w:p>
    <w:p/>
    <w:p>
      <w:pPr>
        <w:jc w:val="center"/>
        <w:pStyle w:val="Normal"/>
        <w:spacing w:line="240" w:lineRule="auto"/>
        <w:keepNext/>
      </w:pPr>
      <w:r>
        <w:rPr>
          <w:sz w:val="28"/>
          <w:rFonts w:ascii="Times New Roman" w:hAnsi="Times New Roman"/>
        </w:rPr>
        <w:t xml:space="preserve">Bilješka 14.</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0214</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Ostali građevinski objekti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0214</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1.808.430,55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1.990.650,58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110,1</w:t>
            </w:r>
          </w:p>
        </w:tc>
      </w:tr>
    </w:tbl>
    <w:p>
      <w:pPr>
        <w:spacing w:before="0" w:after="0"/>
      </w:pPr>
    </w:p>
    <w:p>
      <w:r>
        <w:t xml:space="preserve">Vrijesnost ostalih građevinskih objekata je u promatranom razdoblju veća za 10,10% zbog stavljanja u upotrebu ograde koja je građena oko zgrade područne škole Vladimira nazora u Ruščici te uređenja javne površine ispred mjesnog doma u Donjoj Bebrini.</w:t>
      </w:r>
    </w:p>
    <w:p/>
    <w:p>
      <w:pPr>
        <w:jc w:val="center"/>
        <w:pStyle w:val="Normal"/>
        <w:spacing w:line="240" w:lineRule="auto"/>
        <w:keepNext/>
      </w:pPr>
      <w:r>
        <w:rPr>
          <w:sz w:val="28"/>
          <w:rFonts w:ascii="Times New Roman" w:hAnsi="Times New Roman"/>
        </w:rPr>
        <w:t xml:space="preserve">Bilješka 15.</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0251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Višegodišnji nasadi</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0251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14.005,43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22.888,02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163,4</w:t>
            </w:r>
          </w:p>
        </w:tc>
      </w:tr>
    </w:tbl>
    <w:p>
      <w:pPr>
        <w:spacing w:before="0" w:after="0"/>
      </w:pPr>
    </w:p>
    <w:p>
      <w:r>
        <w:t xml:space="preserve">Vrijednost višegodišnjih nasada je porastla za 63,40% u odnosu na prethodno razdoblje zbog nabavke ukrasnog drveća koje je posađeno uz pješačko biciklistiku stazu u ul. Ivane Brlić Mažuranić koja se u pramatranom razdolju gradila.</w:t>
      </w:r>
    </w:p>
    <w:p/>
    <w:p>
      <w:pPr>
        <w:jc w:val="center"/>
        <w:pStyle w:val="Normal"/>
        <w:spacing w:line="240" w:lineRule="auto"/>
        <w:keepNext/>
      </w:pPr>
      <w:r>
        <w:rPr>
          <w:sz w:val="28"/>
          <w:rFonts w:ascii="Times New Roman" w:hAnsi="Times New Roman"/>
        </w:rPr>
        <w:t xml:space="preserve">Bilješka 16.</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16</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Potraživanja za prihode poslovanja (šifre 161 do 163 + 164 do 168-169)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16</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25.155,95</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589.761,33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2344,4</w:t>
            </w:r>
          </w:p>
        </w:tc>
      </w:tr>
    </w:tbl>
    <w:p>
      <w:pPr>
        <w:spacing w:before="0" w:after="0"/>
      </w:pPr>
    </w:p>
    <w:p>
      <w:r>
        <w:t xml:space="preserve">Iznos se odnosi na potraživanja za poreze, zakup poljoprivrednog zemljišta, komunalne i grobne naknade te potraživanja za kapitalna sredstav od izvanproračunskih korisnika. U izvještajnom razdoblju došlo je do povećanja potraživanja od 2.244,40% u odnosu na prethodnu godinu, budući da je sredinom 2025. godine Općina Klakar potposala ugovor za Izgradnju ceste, vodovodne i kanalizacijske mreže u zoni malog gospodarstva Općine Klakar u Rušćici te potražuje sredstava po projektu u iznosu od 540.000,00 EUR.</w:t>
      </w:r>
    </w:p>
    <w:p>
      <w:r>
        <w:t xml:space="preserve"> </w:t>
      </w:r>
    </w:p>
    <w:p>
      <w:r>
        <w:t xml:space="preserve"> </w:t>
      </w:r>
    </w:p>
    <w:p/>
    <w:p>
      <w:pPr>
        <w:jc w:val="center"/>
        <w:pStyle w:val="Normal"/>
        <w:spacing w:line="240" w:lineRule="auto"/>
        <w:keepNext/>
      </w:pPr>
      <w:r>
        <w:rPr>
          <w:sz w:val="28"/>
          <w:rFonts w:ascii="Times New Roman" w:hAnsi="Times New Roman"/>
        </w:rPr>
        <w:t xml:space="preserve">Bilješka 17.</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za rashode poslovanja (šifre 231 do 234 + 235 + 236 + 237 do 239)</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23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172.899,29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190.744,88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110,3</w:t>
            </w:r>
          </w:p>
        </w:tc>
      </w:tr>
    </w:tbl>
    <w:p>
      <w:pPr>
        <w:spacing w:before="0" w:after="0"/>
      </w:pPr>
    </w:p>
    <w:p>
      <w:r>
        <w:t xml:space="preserve"> Obveze za rashode poslovanja veće su za 10,30% u izvještajnom razdoblju, u odnosu na isto razdoblje prošle godine. Najveće povećanje obveza odnosi se na obveze za zaposlene, budući da je preko projekta „Zaželi – prevencija institucionalizacije“ Općina Klakar sredinom 2024.godine zaposlila 15 djelatnica.</w:t>
      </w:r>
    </w:p>
    <w:p/>
    <w:p>
      <w:pPr>
        <w:jc w:val="center"/>
        <w:pStyle w:val="Normal"/>
        <w:spacing w:line="240" w:lineRule="auto"/>
        <w:keepNext/>
      </w:pPr>
      <w:r>
        <w:rPr>
          <w:sz w:val="28"/>
          <w:rFonts w:ascii="Times New Roman" w:hAnsi="Times New Roman"/>
        </w:rPr>
        <w:t xml:space="preserve">Bilješka 18.</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2622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Obveze za kredite od kreditnih institucija u javnom sektoru</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2622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277.202,19</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148.765,57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53,7</w:t>
            </w:r>
          </w:p>
        </w:tc>
      </w:tr>
    </w:tbl>
    <w:p>
      <w:pPr>
        <w:spacing w:before="0" w:after="0"/>
      </w:pPr>
    </w:p>
    <w:p>
      <w:r>
        <w:t xml:space="preserve">Iznos se odnosi na primljeni kredit od kreditnih institucija u javnom sektoru iz prethodnih godina (HBOR).</w:t>
      </w:r>
    </w:p>
    <w:p/>
    <w:p>
      <w:pPr>
        <w:jc w:val="center"/>
        <w:pStyle w:val="Normal"/>
        <w:spacing w:line="240" w:lineRule="auto"/>
        <w:keepNext/>
      </w:pPr>
      <w:r>
        <w:rPr>
          <w:sz w:val="28"/>
          <w:rFonts w:ascii="Times New Roman" w:hAnsi="Times New Roman"/>
        </w:rPr>
        <w:t xml:space="preserve">Bilješka 19.</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1. siječnja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Stanje 31. prosinca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99651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Potencijalne obveze po osnovi sudskih sporova u tijeku</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99651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844,28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Općina Klakar ima jedan sudski spor koji bi u budućim obračunskim razdobljima moglao postati prihod ili rashod.</w:t>
      </w:r>
    </w:p>
    <w:p/>
    <w:p>
      <w:pPr>
        <w:jc w:val="center"/>
        <w:pStyle w:val="Normal"/>
        <w:spacing w:line="240" w:lineRule="auto"/>
        <w:keepNext/>
      </w:pPr>
      <w:r>
        <w:rPr>
          <w:b/>
          <w:sz w:val="28"/>
          <w:rFonts w:ascii="Times New Roman" w:hAnsi="Times New Roman"/>
        </w:rPr>
        <w:t xml:space="preserve">Promjene u vrijednosti i obujmu imovine i obveza</w:t>
      </w:r>
    </w:p>
    <w:p>
      <w:pPr>
        <w:jc w:val="center"/>
        <w:pStyle w:val="Normal"/>
        <w:spacing w:line="240" w:lineRule="auto"/>
        <w:keepNext/>
      </w:pPr>
      <w:r>
        <w:rPr>
          <w:sz w:val="28"/>
          <w:rFonts w:ascii="Times New Roman" w:hAnsi="Times New Roman"/>
        </w:rPr>
        <w:t xml:space="preserve">Bilješka 20.</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91511</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Promjene u vrijednosti imovine (šifre P001+P008)</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91511</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301.837,78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Sukladno provedenom popisu imovine od strane povjerenstva, izvršene su promjene u smanjenju vrijednosti imovine u iznosu od 301.837,78 eura a odnose se na obračunatu amortizaciju za 2025. godinu.</w:t>
      </w:r>
    </w:p>
    <w:p/>
    <w:p>
      <w:pPr>
        <w:jc w:val="center"/>
        <w:pStyle w:val="Normal"/>
        <w:spacing w:line="240" w:lineRule="auto"/>
        <w:keepNext/>
      </w:pPr>
      <w:r>
        <w:rPr>
          <w:sz w:val="28"/>
          <w:rFonts w:ascii="Times New Roman" w:hAnsi="Times New Roman"/>
        </w:rPr>
        <w:t xml:space="preserve">Bilješka 21.</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povećanja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 smanjenja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91512</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Promjene u obujmu imovine (šifre P016+P023)</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91512</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70.246,93</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0,00</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0</w:t>
            </w:r>
          </w:p>
        </w:tc>
      </w:tr>
    </w:tbl>
    <w:p>
      <w:pPr>
        <w:spacing w:before="0" w:after="0"/>
      </w:pPr>
    </w:p>
    <w:p>
      <w:r>
        <w:t xml:space="preserve">Povećanje obujma imovine za 70.246,93 EUR-a u 20025. godini posljedica je evidentiranje komunalne infrastrukture po nalogu Državnog ureda za reviziju.</w:t>
      </w:r>
    </w:p>
    <w:p/>
    <w:p>
      <w:pPr>
        <w:jc w:val="center"/>
        <w:pStyle w:val="Normal"/>
        <w:spacing w:line="240" w:lineRule="auto"/>
        <w:keepNext/>
      </w:pPr>
      <w:r>
        <w:rPr>
          <w:b/>
          <w:sz w:val="28"/>
          <w:rFonts w:ascii="Times New Roman" w:hAnsi="Times New Roman"/>
        </w:rPr>
        <w:t xml:space="preserve">Izvještaj o obvezama</w:t>
      </w:r>
    </w:p>
    <w:p>
      <w:pPr>
        <w:jc w:val="center"/>
        <w:pStyle w:val="Normal"/>
        <w:spacing w:line="240" w:lineRule="auto"/>
        <w:keepNext/>
      </w:pPr>
      <w:r>
        <w:rPr>
          <w:sz w:val="28"/>
          <w:rFonts w:ascii="Times New Roman" w:hAnsi="Times New Roman"/>
        </w:rPr>
        <w:t xml:space="preserve">Bilješka 22.</w:t>
      </w:r>
    </w:p>
    <w:tbl>
      <w:tblPr>
        <w:tblBorders>
          <w:top w:val="single" w:color="BABABA" w:sz="12"/>
          <w:bottom w:val="single" w:color="BABABA" w:sz="12"/>
          <w:left w:val="single" w:color="BABABA" w:sz="12"/>
          <w:right w:val="single" w:color="BABABA" w:sz="12"/>
          <w:insideH w:val="single" w:color="BABABA" w:sz="8"/>
          <w:insideV w:val="single" w:color="DADADA" w:sz="8"/>
        </w:tblBorders>
        <w:tblW w:w="9000" w:type="dxa"/>
        <w:tblLayout w:type="fixed"/>
        <w:tblCellMar>
          <w:left w:w="40" w:type="dxa"/>
          <w:right w:w="40" w:type="dxa"/>
        </w:tblCellMar>
      </w:tblPr>
      <w:tblGrid>
        <w:gridCol w:w="700"/>
        <w:gridCol w:w="3180"/>
        <w:gridCol w:w="700"/>
        <w:gridCol w:w="1860"/>
        <w:gridCol w:w="700"/>
      </w:tblGrid>
      <w:tr>
        <w:trPr>
          <w:cantSplit/>
        </w:trPr>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Račun iz rač. plana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Opis stavke</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Šifra</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Iznos</w:t>
            </w:r>
          </w:p>
        </w:tc>
        <w:tc>
          <w:tcPr>
            <w:shd w:val="clear" w:color="auto" w:fill="E7F0F9"/>
            <w:tcMar>
              <w:top w:w="0" w:type="dxa"/>
              <w:bottom w:w="0" w:type="dxa"/>
            </w:tcMar>
            <w:vAlign w:val="center"/>
          </w:tcPr>
          <w:p>
            <w:pPr>
              <w:jc w:val="center"/>
              <w:pStyle w:val="Normal"/>
              <w:spacing w:before="0" w:after="0" w:line="240" w:lineRule="auto"/>
              <w:keepNext/>
              <w:keepLines/>
            </w:pPr>
            <w:r>
              <w:rPr>
                <w:sz w:val="18"/>
                <w:rFonts w:ascii="Times New Roman" w:hAnsi="Times New Roman"/>
                <w:b/>
              </w:rPr>
              <w:t>Indeks (%)</w:t>
            </w:r>
          </w:p>
        </w:tc>
      </w:tr>
      <w:tr>
        <w:trPr>
          <w:trHeight w:val="560" w:hRule="atLeast"/>
          <w:cantSplit/>
        </w:trPr>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Stanje dospjelih obveza na kraju izvještajnog razdoblja (šifre V008+D23+D24 + 'D dio 25,26' + D27)</w:t>
            </w:r>
          </w:p>
        </w:tc>
        <w:tc>
          <w:tcPr>
            <w:tcMar>
              <w:top w:w="0" w:type="dxa"/>
              <w:bottom w:w="0" w:type="dxa"/>
            </w:tcMar>
            <w:vAlign w:val="center"/>
          </w:tcPr>
          <w:p>
            <w:pPr>
              <w:jc w:val="left"/>
              <w:pStyle w:val="Normal"/>
              <w:spacing w:before="0" w:after="0" w:line="240" w:lineRule="auto"/>
              <w:keepNext/>
              <w:keepLines/>
            </w:pPr>
            <w:r>
              <w:rPr>
                <w:sz w:val="18"/>
                <w:rFonts w:ascii="Times New Roman" w:hAnsi="Times New Roman"/>
              </w:rPr>
              <w:t>V007</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192.469,28</w:t>
            </w:r>
          </w:p>
        </w:tc>
        <w:tc>
          <w:tcPr>
            <w:tcMar>
              <w:top w:w="0" w:type="dxa"/>
              <w:bottom w:w="0" w:type="dxa"/>
            </w:tcMar>
            <w:vAlign w:val="center"/>
          </w:tcPr>
          <w:p>
            <w:pPr>
              <w:jc w:val="right"/>
              <w:pStyle w:val="Normal"/>
              <w:spacing w:before="0" w:after="0" w:line="240" w:lineRule="auto"/>
              <w:keepNext/>
              <w:keepLines/>
            </w:pPr>
            <w:r>
              <w:rPr>
                <w:sz w:val="18"/>
                <w:rFonts w:ascii="Times New Roman" w:hAnsi="Times New Roman"/>
              </w:rPr>
              <w:t>-</w:t>
            </w:r>
          </w:p>
        </w:tc>
      </w:tr>
    </w:tbl>
    <w:p>
      <w:pPr>
        <w:spacing w:before="0" w:after="0"/>
      </w:pPr>
    </w:p>
    <w:p>
      <w:r>
        <w:t xml:space="preserve">Stanje dospjeli obveza na kraju izvještajnog razdoblja iznose 192.469,28 EUR a najvećim dijelom se odnose na obveze za tekuće rashode poslovanja 61.844,59 EUR, obveze za nabavku nefinancijske imovine 61.844,59 EUR, obveze za financijsku imovinu, odnosno na dospjelu obvezu za otplatu dugoročnog kredita prema HBOR-u, te na obveze za jamčevne pologe u iznosu od 64.605,55 EUR.  Razlozi koji su utjecali na neplaćene dospjele obveze su osiguranje sredstava za podmirenje obveza po preuzetim projektima sufinanciranim od strane Ministarstava, te radi osiguranja i podmirivanja sredstava prema proračunskom korisniku Općine Klakar. Dospjele obveze će biti podmirene u narednom razdoblju. Obveze su nastale sukladno predviđenoj dinamici poslovanja i ne predstavljaju opasnost po likvidnost općinskog proračuna.</w:t>
      </w:r>
    </w:p>
    <w:p/>
    <w:p>
      <w:pPr>
        <w:jc w:val="center"/>
        <w:pStyle w:val="Normal"/>
        <w:spacing w:line="240" w:lineRule="auto"/>
        <w:keepNext/>
      </w:pPr>
      <w:r>
        <w:rPr>
          <w:sz w:val="28"/>
          <w:rFonts w:ascii="Times New Roman" w:hAnsi="Times New Roman"/>
        </w:rPr>
        <w:t xml:space="preserve">Bilješka 23.</w:t>
      </w:r>
    </w:p>
    <w:p>
      <w:pPr>
        <w:jc w:val="both"/>
        <w:pStyle w:val="Normal"/>
        <w:spacing w:line="240" w:lineRule="auto"/>
      </w:pPr>
      <w:r>
        <w:rPr>
          <w:b/>
          <w:sz w:val="24"/>
          <w:rFonts w:ascii="Times New Roman" w:hAnsi="Times New Roman"/>
        </w:rPr>
        <w:t xml:space="preserve">EU izvještaj</w:t>
      </w:r>
    </w:p>
    <w:p>
      <w:r>
        <w:t xml:space="preserve">Općina Klakar od 2024.godine provodi projekt Zaželi- Snaga zajednice faza IV. Projekt se sufinancira 85% iz Europskog socijalnog fonda plus a 15% je nacionalno sufinanciranje. Općina je 2025. godine kroz tekuće pomoći iz državnog proračuna temeljem prijenosa EU sredstava dobila 237.700,80 EUR što je više u odnosu na prethodnu godinu kada su sredstva uplaćena u iznosu od 173.870,40 EUR od kojih 135.000,00 EUR-a je predujam. Rashodi poslovanja su u 2025.godini veći za 82,40% u odnosu na prethodnu godinu s obzirom da su zaposlenice u projektu Zaželi počele s radom tek u lipanj 2024.godine. Općina s 31.12.2025. nema otvorenih potraživanja prema ZNS-ovima. Potraživanja po ugovorima o dodjeli bespovratnih sredstava iz EU fondova na kraju razdoblja su 263.428,80 EUR, što predstavlja ostatak sredstava koje općina može potraživati prema ugovoru za provedbu projekta kojemu je rok siječanj 2027. </w:t>
      </w:r>
    </w:p>
    <w:p>
      <w:r>
        <w:t xml:space="preserve">Općina je u 2025. godini provodila i kapitalni projekt Uređenja pješačke i biciklističke staze u ulici I.B.Mažuranić u Rušćici te je od Europskog fonda za regionalni razvoj primila 290.175,10EUR. Sredstva su utrošena u ukupnom iznosu na uređenje pješačko-biciklističke staze. Općina s 31.12.2025. potražuje po ugovoru o dodjeli bespovratnih sredstava iz EU fondova iznos od 93.986,61 EUR.</w:t>
      </w:r>
    </w:p>
    <w:p>
      <w:r>
        <w:t xml:space="preserve">Općina je u 2025. godini potpisala Ugovor za dodjelu bespovratnih sredstava iz NPOO za projekt Izrade prostornog plana nove generacije putem elektroničkog sustava e-Planovi za Općinu Klakar. Sredstva se očekuju u 2026. godini kao i kompletna realizacija projekta.</w:t>
      </w:r>
    </w:p>
    <w:p>
      <w:r>
        <w:t xml:space="preserve">Prema navedenom ukupna potraživanja po ugovorima o dodjeli bespovratnih sredstava iz EU fondova na kraju razdoblja iznose 387.415,41 EUR.</w:t>
      </w:r>
    </w:p>
    <w:p>
      <w:r>
        <w:t xml:space="preserve"> </w:t>
      </w:r>
    </w:p>
    <w:p/>
  </w:body>
</w:document>
</file>

<file path=word/styles.xml><?xml version="1.0" encoding="utf-8"?>
<w:styles xmlns:w="http://schemas.openxmlformats.org/wordprocessingml/2006/main">
  <w:docDefaults>
    <w:rPrDefault>
      <w:rPr>
        <w:rFonts w:ascii="Times New Roman" w:hAnsi="Times New Roman"/>
        <w:sz w:val="24"/>
      </w:rPr>
    </w:rPrDefault>
  </w:docDefaults>
  <w:style w:type="paragraph" w:styleId="Normal" w:default="true">
    <w:name w:val="Normal"/>
    <w:rPr>
      <w:rFonts w:ascii="Times New Roman" w:hAnsi="Times New Roman"/>
      <w:sz w:val="24"/>
    </w:rPr>
  </w:style>
</w:styles>
</file>

<file path=word/_rels/document.xml.rels>&#65279;<?xml version="1.0" encoding="utf-8"?><Relationships xmlns="http://schemas.openxmlformats.org/package/2006/relationships"><Relationship Type="http://schemas.openxmlformats.org/officeDocument/2006/relationships/styles" Target="/word/styles.xml" Id="R53f3e4b19c344ca9" /></Relationships>
</file>